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12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-69215</wp:posOffset>
                </wp:positionH>
                <wp:positionV relativeFrom="paragraph">
                  <wp:posOffset>-563245</wp:posOffset>
                </wp:positionV>
                <wp:extent cx="5918835" cy="1525905"/>
                <wp:effectExtent l="19050" t="19050" r="0" b="635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8040" cy="15253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18040" cy="1525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18040" cy="152532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680" y="134640"/>
                              <a:ext cx="1083960" cy="816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39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83800" y="99000"/>
                            <a:ext cx="4016880" cy="1282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algn="ctr" dir="8016978" dist="105417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-5.45pt;margin-top:-44.35pt;width:466pt;height:120.1pt" coordorigin="-109,-887" coordsize="9320,2402">
                <v:group id="shape_0" style="position:absolute;left:-109;top:-887;width:9320;height:2402">
                  <v:rect id="shape_0" stroked="t" style="position:absolute;left:-109;top:-887;width:9319;height:2401;v-text-anchor:middle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423;top:-675;width:1707;height:1285"/>
                </v:group>
                <v:rect id="shape_0" fillcolor="white" stroked="f" style="position:absolute;left:2700;top:-731;width:6325;height:2019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non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center" w:pos="4818" w:leader="none"/>
          <w:tab w:val="left" w:pos="8250" w:leader="none"/>
        </w:tabs>
        <w:ind w:right="-142" w:hanging="0"/>
        <w:jc w:val="center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Ata da Reunião Ordinária do Conselho Municipal da Pessoa com Deficiência de Criciúma – CODEC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/>
      </w:pPr>
      <w:r>
        <w:rPr>
          <w:rFonts w:eastAsia="Arial Black" w:cs="Arial Black" w:ascii="Arial Black" w:hAnsi="Arial Black"/>
          <w:b/>
        </w:rPr>
        <w:tab/>
        <w:t>13/12/2022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/>
      </w:pPr>
      <w:r>
        <w:rPr>
          <w:rFonts w:eastAsia="Arial Black" w:cs="Arial Black" w:ascii="Arial Black" w:hAnsi="Arial Black"/>
          <w:b/>
          <w:sz w:val="24"/>
          <w:szCs w:val="24"/>
        </w:rPr>
        <w:t>Ata n°08/2022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Ao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décimo terceiro dia do mês de dezembro </w:t>
      </w:r>
      <w:r>
        <w:rPr>
          <w:rFonts w:eastAsia="Arial" w:cs="Arial" w:ascii="Arial" w:hAnsi="Arial"/>
          <w:sz w:val="24"/>
          <w:szCs w:val="24"/>
        </w:rPr>
        <w:t xml:space="preserve">de dois mil e vinte e dois, deu-se início a reunião ordinária deste Conselho </w:t>
      </w:r>
      <w:r>
        <w:rPr>
          <w:rFonts w:eastAsia="Arial" w:cs="Arial" w:ascii="Arial" w:hAnsi="Arial"/>
          <w:color w:val="000000"/>
          <w:sz w:val="24"/>
          <w:szCs w:val="24"/>
        </w:rPr>
        <w:t>de forma presencial</w:t>
      </w:r>
      <w:r>
        <w:rPr>
          <w:rFonts w:eastAsia="Arial" w:cs="Arial" w:ascii="Arial" w:hAnsi="Arial"/>
          <w:sz w:val="24"/>
          <w:szCs w:val="24"/>
        </w:rPr>
        <w:t xml:space="preserve">, do Conselho Municipal dos Direitos da Pessoa com Deficiência – CODEC, Estavam presentes os seguintes conselheiros (as): Marilu Bereta Cardoso (Secretaria Municipal de Assistência Social); </w:t>
      </w:r>
      <w:r>
        <w:rPr>
          <w:rFonts w:eastAsia="Arial" w:cs="Arial" w:ascii="Arial" w:hAnsi="Arial"/>
          <w:color w:val="000000"/>
          <w:sz w:val="24"/>
          <w:szCs w:val="24"/>
        </w:rPr>
        <w:t>José Paulo Goulart</w:t>
      </w:r>
      <w:r>
        <w:rPr>
          <w:rFonts w:eastAsia="Arial" w:cs="Arial" w:ascii="Arial" w:hAnsi="Arial"/>
          <w:sz w:val="24"/>
          <w:szCs w:val="24"/>
        </w:rPr>
        <w:t xml:space="preserve"> (Secretaria Municipal de Saúde); Úrsula Silveira Domingos (Secretaria Municipal de Educação); Ângela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Maria Silva</w:t>
      </w:r>
      <w:r>
        <w:rPr>
          <w:rFonts w:eastAsia="Arial" w:cs="Arial" w:ascii="Arial" w:hAnsi="Arial"/>
          <w:sz w:val="24"/>
          <w:szCs w:val="24"/>
        </w:rPr>
        <w:t xml:space="preserve"> (Fundação Municipal de Esporte de Criciúma – FME);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Vanessa Aparecida Ceron </w:t>
      </w:r>
      <w:r>
        <w:rPr>
          <w:rFonts w:eastAsia="Arial" w:cs="Arial" w:ascii="Arial" w:hAnsi="Arial"/>
          <w:sz w:val="24"/>
          <w:szCs w:val="24"/>
        </w:rPr>
        <w:t xml:space="preserve">(Secretaria Municipal de Infraestrutura Planejamento e Mobilidade Urbana); Rindalta das Graças de Oliveira (JUDECRI); Helenita Regina de Castro Cipriano (JUDECRI); Alessandro Marques (APAE e Diomicio Freitas); Vera Lúcia Waterkemper (APAE e Diomicio Freitas); Marcionei Fernandes (SISERP); Gilamar Severo (ACIC) Justificativas: FCC; Gabinete do Prefeito; Gerência Regional de Educação; Instituto Nacional de Seguro Social; UNESC. </w:t>
      </w:r>
      <w:r>
        <w:rPr>
          <w:rFonts w:eastAsia="Arial" w:cs="Arial" w:ascii="Arial" w:hAnsi="Arial"/>
          <w:color w:val="000000"/>
          <w:sz w:val="24"/>
          <w:szCs w:val="24"/>
        </w:rPr>
        <w:t>A Presidente Rindalta das Graças de Oliveira iniciou a reunião saudando e agradecendo a presença de todos. Em sequência, a mesma iniciou sua fala, informando aos Conselheiros que seria entregue uma placa em  homenagem  aos anos de dedicação e relevância   em nome do Conselho para a família do ex-presidente, Rodolfo Ignácio Martinelli, que faleceu no último mês. Rodolfo era advogado e atuou como conselheiro por mais de 20 anos e nos últimos anos ficou à frente do conselho municipal como presidente e anteriormente vice-presidente, assim também como presidente da Comissão de Defesa dos Diretos das Pessoas com Deficiência da OAB. A esposa, Aurea Stela Wessling Werncke, recebeu uma placa em agradecimento pela dedicação e o legado deixado por Rodolfo à frente do conselho. A mesma, emocionada, expressou sua gratidão: É gratificante receber esta homenagem porque eu acompanhava com ele os trabalhos que eram feitos nessa área e a gente sempre fica feliz pelo reconhecimento, e não que se fazia o trabalho pensando nisso, era algo feito de coração. Por mais que ele não esteja aqui para ver, a gente como família sempre fica gratificada pelo reconhecimento e pelo carinho. Em sequência, o Coordenador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geral da Coordenação dos Conselhos, o Senhor Volnei de Bona, entregou uma segunda placa em homenagem em nome da Coordenação dos Conselhos “É uma singela homenagem que simboliza toda a dedicação do Rodolfo nas ações voltadas para esta causa. Agradecemos pelo seu o trabalho e dedicação de anos no conselho”, ressaltou o coordenador dos Conselhos, Volnei De Bona. Apos, a mesma agradeceu a todos e mostrou sua gratificação pelas homenagens. Em sequência, outros Conselheiros pediram a palavra e mostraram sua tristeza pela perda do Presidente Rodolfo Ignácio Martinelli, por ser um homem que dedicou a vida para a causa da Pessoa Com Deficiência e assim a sociedade e pensar sempre no próximo. A Conselheira Helenita Regina, pediu a palavra e comentou sobre as dificuldades e preconceitos que a pessoa com deficiências sofrem hoje em dia. A mesma informou também, que é difícil lutar para que seu direito seja válido, e se existem leis, é por que seus direitos são violados, e é por isso que o Presidente era tão prestativo neste Conselho. Para fazer com que seus direitos sejam válidos para toda sociedade. Apos, a Presidente Rindalta das Graças de Oliveira retomou a palavra, e informou que na semana passada, a mesma junto a outros Conselheiros, se fizeram presentes em um café na Câmara de Vereadores em relação a audiência pública com pessoas da onda autismo, estavam presentes também, um representante de cada Secretaria, onde foi dado muitos encaminhamentos para o ano de 2023. O assunto foi discutido pelos Conselheiros. Em prosseguimento a reunião, a Presidente Rindalta das Graças de Oliveira passou para o segundo ponto de pauta: resposta ao Ministério Público referente ao Colégio SATC. A mesma informou que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a mesma 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alguns Conselheiros fizeram presente</w:t>
      </w:r>
      <w:r>
        <w:rPr>
          <w:rFonts w:eastAsia="Arial" w:cs="Arial" w:ascii="Arial" w:hAnsi="Arial"/>
          <w:color w:val="000000"/>
          <w:sz w:val="24"/>
          <w:szCs w:val="24"/>
        </w:rPr>
        <w:t>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na vistoria ao Colégio SATC, e foi encaminhado a resposta ao Ministério Publico de que teria sido feita a vistoria, mas que alguns lugares ainda não possuem acessibilidades </w:t>
      </w:r>
      <w:r>
        <w:rPr>
          <w:rFonts w:eastAsia="Arial" w:cs="Arial" w:ascii="Arial" w:hAnsi="Arial"/>
          <w:color w:val="000000"/>
          <w:sz w:val="24"/>
          <w:szCs w:val="24"/>
        </w:rPr>
        <w:t>mas possuem a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necessidade de colocação de elevador ou placa</w:t>
      </w:r>
      <w:r>
        <w:rPr>
          <w:rFonts w:eastAsia="Arial" w:cs="Arial" w:ascii="Arial" w:hAnsi="Arial"/>
          <w:color w:val="000000"/>
          <w:sz w:val="24"/>
          <w:szCs w:val="24"/>
        </w:rPr>
        <w:t>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elevatórias entre outras demandas que se fazem necessário. O assunto foi discutido pelos Conselheiros. Em sequência, a Presidente Rindalta das Graças de Oliveira a partir das informações da técnica da prefeitura que fez muitas vistorias e a indagação de que outros colégios não tem acessibilidade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e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que no próximo ano, 2023, </w:t>
      </w:r>
      <w:r>
        <w:rPr>
          <w:rFonts w:eastAsia="Arial" w:cs="Arial" w:ascii="Arial" w:hAnsi="Arial"/>
          <w:color w:val="000000"/>
          <w:sz w:val="24"/>
          <w:szCs w:val="24"/>
        </w:rPr>
        <w:t>possam fazer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um trabalho ampliado nestes locais </w:t>
      </w:r>
      <w:r>
        <w:rPr>
          <w:rFonts w:eastAsia="Arial" w:cs="Arial" w:ascii="Arial" w:hAnsi="Arial"/>
          <w:color w:val="000000"/>
          <w:sz w:val="24"/>
          <w:szCs w:val="24"/>
        </w:rPr>
        <w:t>junto a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o Ministério Publico, pois a lei e acessibilidades </w:t>
      </w:r>
      <w:r>
        <w:rPr>
          <w:rFonts w:eastAsia="Arial" w:cs="Arial" w:ascii="Arial" w:hAnsi="Arial"/>
          <w:color w:val="000000"/>
          <w:sz w:val="24"/>
          <w:szCs w:val="24"/>
        </w:rPr>
        <w:t>é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para todas as pessoas com deficiência e ou mobilidade reduzida, pessoas com carrinho de bebês</w:t>
      </w:r>
      <w:r>
        <w:rPr>
          <w:rFonts w:eastAsia="Arial" w:cs="Arial" w:ascii="Arial" w:hAnsi="Arial"/>
          <w:sz w:val="24"/>
          <w:szCs w:val="24"/>
        </w:rPr>
        <w:t xml:space="preserve">, pessoa idosa. Uma cidade acessível em todos os aspectos sejam arquitetônico. Segunda língua (libras), </w:t>
      </w:r>
      <w:r>
        <w:rPr>
          <w:rFonts w:eastAsia="Arial" w:cs="Arial" w:ascii="Arial" w:hAnsi="Arial"/>
          <w:sz w:val="24"/>
          <w:szCs w:val="24"/>
        </w:rPr>
        <w:t>materiais pedagógicos</w:t>
      </w:r>
      <w:r>
        <w:rPr>
          <w:rFonts w:eastAsia="Arial" w:cs="Arial" w:ascii="Arial" w:hAnsi="Arial"/>
          <w:sz w:val="24"/>
          <w:szCs w:val="24"/>
        </w:rPr>
        <w:t xml:space="preserve"> acessível entre outras ferramentas</w:t>
      </w:r>
      <w:r>
        <w:rPr>
          <w:rFonts w:eastAsia="Arial" w:cs="Arial" w:ascii="Arial" w:hAnsi="Arial"/>
          <w:color w:val="000000"/>
          <w:sz w:val="24"/>
          <w:szCs w:val="24"/>
        </w:rPr>
        <w:t>. Apos, a Presidente Rindalta das Graças pediu a palavra e informou que a próxima reunião esta agendada para o dia 15 de fevereiro do ano de 2023 e a mesma convidou a esposa do ex Presidente Rodolfo Martinelli, a senhora Aurea Stela Wessling Werncke, para fazer parte das reuniões e deste Conselho, em vistorias e eventos. O assunto foi discutido pelos Conselheiros. Falou-se também da necessidade das residências inclusiva porque tem um grande público que vai demandar do local porque seus familiares estão envelhecendo e não teriam locais para viverem e que será incluindo nas pautas de 20</w:t>
      </w:r>
      <w:r>
        <w:rPr>
          <w:rFonts w:eastAsia="Arial" w:cs="Arial" w:ascii="Arial" w:hAnsi="Arial"/>
          <w:sz w:val="24"/>
          <w:szCs w:val="24"/>
        </w:rPr>
        <w:t>23 este tema.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Sem mais manifestações, a Presidente Rindalta das Graças de Oliveira, encerrou a reunião, e sem mais nada a tratar, eu, Letticia Baschirotto, lavrei-a presente ata, que após lida e aprovada será por todos os presentes assinadas.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Marilu Bereta Cardoso(Secretaria Municipal de Assistência Social);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José Paulo Goulart (Secretaria Municipal de Saúde);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Úrsula Silveira Domingos (Secretaria Municipal de Educação);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Ângela Maria Silva (Fundação Municipal de Esporte de Criciúma – FME);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Vanessa Aparecida Ceron (Secretaria Municipal de Infraestrutura Planejamento e Mobilidade Urbana);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Rindalta das Graças de Oliveira (JUDECRI);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Helenita Regina de Castro Cipriano (JUDECRI);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Alessandro Marques (APAE e Diomicio Freitas);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Vera Lúcia Waterkemper (APAE e Diomicio Freitas);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lineRule="auto" w:line="240" w:before="0" w:after="2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Marcionei Fernandes (SISERP); Gilamar Severo (ACIC).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LibreOffice/7.0.1.2$Windows_X86_64 LibreOffice_project/7cbcfc562f6eb6708b5ff7d7397325de9e764452</Application>
  <Pages>3</Pages>
  <Words>977</Words>
  <Characters>5409</Characters>
  <CharactersWithSpaces>6391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2022-12-16T09:46:39Z</dcterms:modified>
  <cp:revision>1</cp:revision>
  <dc:subject/>
  <dc:title/>
</cp:coreProperties>
</file>