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</w:t>
      </w:r>
      <w:r>
        <w:rPr>
          <w:rFonts w:eastAsia="Calibri" w:cs="Calibri" w:ascii="Times New Roman" w:hAnsi="Times New Roman"/>
          <w:b/>
          <w:color w:val="auto"/>
          <w:kern w:val="2"/>
          <w:sz w:val="24"/>
          <w:szCs w:val="24"/>
          <w:lang w:val="pt-BR" w:eastAsia="zh-CN" w:bidi="hi-IN"/>
        </w:rPr>
        <w:t>08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color w:val="auto"/>
          <w:kern w:val="2"/>
          <w:sz w:val="24"/>
          <w:szCs w:val="24"/>
          <w:lang w:val="pt-BR" w:eastAsia="zh-CN" w:bidi="hi-IN"/>
        </w:rPr>
        <w:t>14</w:t>
      </w:r>
      <w:r>
        <w:rPr>
          <w:rFonts w:eastAsia="Calibri" w:cs="Calibri" w:ascii="Times New Roman" w:hAnsi="Times New Roman"/>
          <w:b/>
          <w:sz w:val="24"/>
        </w:rPr>
        <w:t>/</w:t>
      </w:r>
      <w:r>
        <w:rPr>
          <w:rFonts w:eastAsia="Calibri" w:cs="Calibri" w:ascii="Times New Roman" w:hAnsi="Times New Roman"/>
          <w:b/>
          <w:color w:val="auto"/>
          <w:kern w:val="2"/>
          <w:sz w:val="24"/>
          <w:szCs w:val="24"/>
          <w:lang w:val="pt-BR" w:eastAsia="zh-CN" w:bidi="hi-IN"/>
        </w:rPr>
        <w:t>09</w:t>
      </w:r>
      <w:r>
        <w:rPr>
          <w:rFonts w:eastAsia="Calibri" w:cs="Calibri" w:ascii="Times New Roman" w:hAnsi="Times New Roman"/>
          <w:b/>
          <w:sz w:val="24"/>
        </w:rPr>
        <w:t>/2023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 xml:space="preserve">Ao </w:t>
      </w:r>
      <w:r>
        <w:rPr>
          <w:rFonts w:eastAsia="Arial" w:cs="Times New Roman" w:ascii="Times New Roman" w:hAnsi="Times New Roman"/>
          <w:color w:val="000000"/>
          <w:kern w:val="2"/>
          <w:sz w:val="24"/>
          <w:szCs w:val="24"/>
          <w:lang w:val="pt-BR" w:eastAsia="zh-CN" w:bidi="hi-IN"/>
        </w:rPr>
        <w:t>décimo quarto</w:t>
      </w:r>
      <w:r>
        <w:rPr>
          <w:rFonts w:eastAsia="Arial" w:cs="Times New Roman" w:ascii="Times New Roman" w:hAnsi="Times New Roman"/>
          <w:color w:val="000000"/>
          <w:sz w:val="24"/>
        </w:rPr>
        <w:t xml:space="preserve"> dia</w:t>
      </w:r>
      <w:r>
        <w:rPr>
          <w:rFonts w:cs="Times New Roman" w:ascii="Times New Roman" w:hAnsi="Times New Roman"/>
          <w:sz w:val="24"/>
        </w:rPr>
        <w:t xml:space="preserve"> do mês de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setembro</w:t>
      </w:r>
      <w:r>
        <w:rPr>
          <w:rFonts w:cs="Times New Roman" w:ascii="Times New Roman" w:hAnsi="Times New Roman"/>
          <w:sz w:val="24"/>
        </w:rPr>
        <w:t xml:space="preserve"> de dois mil e vinte e três, aconteceu a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oitava</w:t>
      </w:r>
      <w:r>
        <w:rPr>
          <w:rFonts w:cs="Times New Roman" w:ascii="Times New Roman" w:hAnsi="Times New Roman"/>
          <w:sz w:val="24"/>
        </w:rPr>
        <w:t xml:space="preserve"> reunião ordinária do Conselho Municipal </w:t>
      </w:r>
      <w:r>
        <w:rPr>
          <w:rFonts w:eastAsia="Calibri" w:cs="Calibri" w:ascii="Times New Roman" w:hAnsi="Times New Roman"/>
          <w:sz w:val="24"/>
        </w:rPr>
        <w:t>de Segurança Alimentar e Nutricional de Criciúma – COMSEA</w:t>
      </w:r>
      <w:r>
        <w:rPr>
          <w:rFonts w:cs="Times New Roman" w:ascii="Times New Roman" w:hAnsi="Times New Roman"/>
          <w:sz w:val="24"/>
        </w:rPr>
        <w:t xml:space="preserve">, de forma presencial. Estavam presentes os (as) seguintes conselheiros (as): Sabrina Teodósio Silva Pagani (Gabinete do Prefeito);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Adriana Althoff De Villa</w:t>
      </w:r>
      <w:r>
        <w:rPr>
          <w:rFonts w:cs="Times New Roman" w:ascii="Times New Roman" w:hAnsi="Times New Roman"/>
          <w:sz w:val="24"/>
        </w:rPr>
        <w:t xml:space="preserve"> (Secretária Municipal de Educação); Célia Topanotti Lima Valim (Secretária Municipal de Educação); Indianara de Bem Souza (Secretaria Municipal de Assistência Social); Edla Maria Mazzuco Coan (Secretaria Municipal de Assistência Social); Ana Paula Aguiar Milanez (Secretaria Municipal de Saúde);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Lidiane Camargo</w:t>
      </w:r>
      <w:r>
        <w:rPr>
          <w:rFonts w:cs="Times New Roman" w:ascii="Times New Roman" w:hAnsi="Times New Roman"/>
          <w:sz w:val="24"/>
        </w:rPr>
        <w:t xml:space="preserve"> (Empresa de Pesquisa Agropecuaria e Extensão Rural de Santa Catarina – EPAGRI); 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Giuliana Rossa</w:t>
      </w:r>
      <w:r>
        <w:rPr>
          <w:rFonts w:cs="Times New Roman" w:ascii="Times New Roman" w:hAnsi="Times New Roman"/>
          <w:sz w:val="24"/>
        </w:rPr>
        <w:t xml:space="preserve"> (Procuradoria-Geral do Município);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Daiana Silveira Colombo</w:t>
      </w:r>
      <w:r>
        <w:rPr>
          <w:rFonts w:cs="Times New Roman" w:ascii="Times New Roman" w:hAnsi="Times New Roman"/>
          <w:sz w:val="24"/>
        </w:rPr>
        <w:t xml:space="preserve"> (Diretoria de Municipal de Meio Ambiente de Criciúma – DMACRI); Tatiane Scarpari Magagnin (Bairro da Juventude dos Padres Rogacionistas); Nicole Ávila Amador Piacetini (Associação Beneficente ABADEUS); Eliane Mandelli Frank (Núcleo Serramar da Rede Ecovida de Agroecologia); Júlia dos Santos Collodel (Associação Feminina de Assistência Social – AFASC);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Daniela Preis Juvêncio</w:t>
      </w:r>
      <w:r>
        <w:rPr>
          <w:rFonts w:cs="Times New Roman" w:ascii="Times New Roman" w:hAnsi="Times New Roman"/>
          <w:sz w:val="24"/>
        </w:rPr>
        <w:t xml:space="preserve"> (Hospital São José); Amanda Bianchini (Asilo São Vicente de Paulo); Janara Marques de Souza (Associação de Pais e Amigos do Excepcionais – APAE); José Barzan (Cooperativa Nova Vida); Rita Suselaine Vieira Ribeiro (Universidade do Extremo Sul Catarinense – UNESC);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Fabiane Maciel Fabris</w:t>
      </w:r>
      <w:r>
        <w:rPr>
          <w:rFonts w:cs="Times New Roman" w:ascii="Times New Roman" w:hAnsi="Times New Roman"/>
          <w:sz w:val="24"/>
        </w:rPr>
        <w:t xml:space="preserve"> (Universidade do Extremo Sul Catarinense – UNESC); Fernanda Rodrigues (Centro Acadêmico de Nutrição – UNESC); </w:t>
      </w: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Loiva Albino Perdona Cezar</w:t>
      </w:r>
      <w:r>
        <w:rPr>
          <w:rFonts w:cs="Times New Roman" w:ascii="Times New Roman" w:hAnsi="Times New Roman"/>
          <w:sz w:val="24"/>
        </w:rPr>
        <w:t xml:space="preserve"> (Cooperativa dos Agricultores Familiares de Criciúma – Nosso Fruto);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Gabrielle da Luz</w:t>
      </w:r>
      <w:r>
        <w:rPr>
          <w:rFonts w:cs="Times New Roman" w:ascii="Times New Roman" w:hAnsi="Times New Roman"/>
          <w:sz w:val="24"/>
        </w:rPr>
        <w:t xml:space="preserve"> (Conselho Regional de Nutricionistas – CRN 10); Renato Costa (Entidade Negra Bastiana – ENEB). A Presidente Rita Suselaine abriu a reunião, saudando a todos e realizando a verificação do quórum. Em seguida, a Presidente abriu espaço para que os conselheiros repassassem seus informes, caso os tivessem. Assim, a conselheira Ana Paula Milanez repassou aos demais as devolutivas quanto à Conferência Municipal de Segurança Alimentar e Nutricional de Forquilinha, da qual alguns outros conselheiros também participaram, trazendo a representação do COMSEA/Criciúma às discussões realizadas no evento. Seguindo o mesmo viés, a Presidente informou ter participado, também, da Conferência Regional de Laguna,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onde aconteceram discussões valiosas à causa da segurança alimentar. A Presidente também lembrou os presentes que, ao dia 16 de outubro, comemora-se o Dia Mundial da Alimentação, e, assim, o Curso de Nutrição, juntamente aos representantes da Liga Acadêmica de Segurança Alimentar e Nutricional, realizarão um evento voltado à data. A presidente repassou a inserção dos pescados na alimentação escolar e da população geral, tema amplamente discutido durante a Conferência, gerando um momento de diálogo entre os conselheiros sobre a versatilidade e funcionalidade desse grupo alimentar. A conselheira Lidiane Camargo comunicou aos demais conselheiros que ocorreu um encontro na Prefeitura Municipal de Criciúma em 06 de setembro. O objetivo do evento foi discutir sobre o tema da alimentação escolar dentro da cultura familiar. Estiveram presentes 66% dos representantes da região da AMREC, assim como os conselhos de alimentação escolar e outras entidades sociais relacionadas à alimentação nas escolas. A presidente Rita Suselaine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apontou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que, na semana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seguinte à presente reunião,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ocorrerá um encontro em Itajaí-SC,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a tratar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 sobre nutrição no SUAS. Foi comunicado que os visitantes não terão nenhum custo para participar do evento. A presidente também informou que será apresentado um trabalho com sua perspectiva sobre o estado de saúde nutricional das crianças em idade escolar que participam do CRAS. A conselheira Adriana Althoff De Villa abordou a expressão “Alimentando ideias”, presente no panfleto distribuído aos conselheiros. Ela observou que, nas escolas, muitas vezes não é seguido o cardápio recomendado pelas nutricionistas do município. Por isso, está sendo elaborado um relatório da cozinha, destacando os pontos de deficiência em alguma etapa de preparação dos alimentos. A mesma informou que está sendo promovida uma melhor distribuição dos alimentos nas instituições escolares, com o objetivo de evitar desperdícios desnecessários no final do mês, incentivando as escolas a utilizar todos os recursos disponíveis em estoque. A conselheira Ana Paula Aguiar Milanez, informou o passo a passo de como são distribuídas as ocupações das vagas de nutricionista no município, sanando algumas dúvidas dos conselheiros. A conselheira Lidiane Camargo ressaltou a relevância da Agroponte como local de destaque para expor a agricultura local e notou a boa aceitação do público, seja nas vendas ou na participação no evento. A Presidente Rita Suselaine abordou a proposta do PAA (Programa de Aquisição de Alimentos), que visa a distribuição de recursos financeiros em todo o estado. Uma parcela será direcionada aos municípios, enquanto a outra parte dos recursos será destinada a projetos. O conselheiro José Barzan fez a leitura de mais informações sobre o   Programa de Aquisição de Alimentos e para quais cooperativas os recursos irão ser destinados. </w:t>
      </w:r>
      <w:r>
        <w:rPr>
          <w:rFonts w:eastAsia="NSimSun" w:cs="Times New Roman" w:ascii="Times New Roman" w:hAnsi="Times New Roman"/>
          <w:b w:val="false"/>
          <w:strike w:val="false"/>
          <w:dstrike w:val="false"/>
          <w:color w:val="auto"/>
          <w:kern w:val="2"/>
          <w:sz w:val="24"/>
          <w:szCs w:val="24"/>
          <w:u w:val="none"/>
          <w:effect w:val="none"/>
          <w:lang w:val="pt-BR" w:eastAsia="zh-CN" w:bidi="hi-IN"/>
        </w:rPr>
        <w:t>A presidente Rita Suselaine comunicou quais estatísticas foram mencionadas no edital do programa, utilizadas para a distribuição dos recursos pelo estado. Essas estatísticas são o Índice de Desenvolvimento Humano (IDH), o Cadastro Único (CádUnico) e os dados da vigilância nutricional. A soma desses elementos será contabilizada como "pontos", o que resultará no aumento dos recursos oferecidos àquele município ou na mudança da sua classificação, implicando em menos recursos disponíveis. Outro “ponto” a ser contabilizado, é o município estar cadastrado no SISAN e o funcionamento ativo do conselho. A mesma informou que as inscrições para a conferência municipal foram realizadas e os documentos  que deveriam ser enviados ao governo estadual já foram encaminhados. A presidente Rita Suselaine comunicou aos conselheiros que, durante a reunião com o Secretário de Assistência Social Estadual, foi proposto que o COMSEA e a CAISA</w:t>
      </w:r>
      <w:r>
        <w:rPr>
          <w:rFonts w:eastAsia="NSimSun" w:cs="Times New Roman" w:ascii="Times New Roman" w:hAnsi="Times New Roman"/>
          <w:b w:val="false"/>
          <w:strike w:val="false"/>
          <w:dstrike w:val="false"/>
          <w:color w:val="auto"/>
          <w:kern w:val="2"/>
          <w:sz w:val="24"/>
          <w:szCs w:val="24"/>
          <w:u w:val="none"/>
          <w:effect w:val="none"/>
          <w:lang w:val="pt-BR" w:eastAsia="zh-CN" w:bidi="hi-IN"/>
        </w:rPr>
        <w:t>N</w:t>
      </w:r>
      <w:r>
        <w:rPr>
          <w:rFonts w:eastAsia="NSimSun" w:cs="Times New Roman" w:ascii="Times New Roman" w:hAnsi="Times New Roman"/>
          <w:b w:val="false"/>
          <w:strike w:val="false"/>
          <w:dstrike w:val="false"/>
          <w:color w:val="auto"/>
          <w:kern w:val="2"/>
          <w:sz w:val="24"/>
          <w:szCs w:val="24"/>
          <w:u w:val="none"/>
          <w:effect w:val="none"/>
          <w:lang w:val="pt-BR" w:eastAsia="zh-CN" w:bidi="hi-IN"/>
        </w:rPr>
        <w:t xml:space="preserve"> devem estar sob a mesma secretaria, levando em consideração a necessidade de encaminhamento e formalização dos documentos envolvidos. A conselheira Célia Topanotti Lima Valim ressaltou a relevância da participação das secretarias e instituições diante das documentações enviadas ao conselho ou demais entidades, considerando que as respostas precisam ser tratadas no âmbito municipal, com o conhecimento de todas as entidades envolvidas. </w:t>
      </w:r>
      <w:r>
        <w:rPr>
          <w:rFonts w:cs="Times New Roman" w:ascii="Times New Roman" w:hAnsi="Times New Roman"/>
          <w:sz w:val="24"/>
        </w:rPr>
        <w:t xml:space="preserve">Destarte, sem mais a tratar, a Presidente Rita Suselaine finalizou a reunião, agradecendo a presença de todos e, sem mais a relatar, eu,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Bruno Koscrevic Paulo</w:t>
      </w:r>
      <w:r>
        <w:rPr>
          <w:rFonts w:cs="Times New Roman" w:ascii="Times New Roman" w:hAnsi="Times New Roman"/>
          <w:sz w:val="24"/>
        </w:rPr>
        <w:t>, lavro a presente ata que, após lida e aprovada, será por todos assinada.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Sabrina Teodósio Silva Pagani (Gabinete do Prefeito);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Ana Paula Lemos de Souza (Gabinete do Prefeito);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Adriana Althoff De Villa (Secretaria Municipal de Educação);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Célia Topanotti Lima Valim (Secretaria Municipal de Educação);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Indianara de Bem Souza (Secretaria Municipal de Assistência Social);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Edla Maria Mazzuco Coan (Secretaria Municipal de Assistência Social);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Ana Paula Aguiar Milanez (Secretaria Municipal de Saúde);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Lidiane Camargo</w:t>
      </w:r>
      <w:r>
        <w:rPr>
          <w:rFonts w:cs="Times New Roman" w:ascii="Times New Roman" w:hAnsi="Times New Roman"/>
          <w:sz w:val="24"/>
        </w:rPr>
        <w:t xml:space="preserve"> (Empresa de Pesquisa Agropecuária e Extensão Rural de Santa Catarina – EPAGRI);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Giuliana Rossa (Procuradoria-Geral do Município);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Daiana Silveira Colombo</w:t>
      </w:r>
      <w:r>
        <w:rPr>
          <w:rFonts w:cs="Times New Roman" w:ascii="Times New Roman" w:hAnsi="Times New Roman"/>
          <w:sz w:val="24"/>
        </w:rPr>
        <w:t xml:space="preserve"> (Diretoria de Municipal de Meio Ambiente de Criciúma – DMACRI);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Tatiane Scarpari Magagnin (Bairro da Juventude dos Padres Rogacionistas);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Júlia dos Santos Collodel (Associação Feminina de Assistência Social – AFASC);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Eliane Mandelli Frank (Núcleo Serramar da Rede Ecovida de Agroecologia); </w:t>
      </w: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Daniela Preis Juvêncio</w:t>
      </w:r>
      <w:r>
        <w:rPr>
          <w:rFonts w:cs="Times New Roman" w:ascii="Times New Roman" w:hAnsi="Times New Roman"/>
          <w:sz w:val="24"/>
        </w:rPr>
        <w:t xml:space="preserve"> (Hospital São José);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Amanda Bianchini (Asilo São Vicente de Paulo);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Janara Marques de Souza (Associação de Pais e Amigos do Excepcionais – APAE);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José Barzan (Cooperativa Nova Vida);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Rita Suselaine Vieira Ribeiro (Universidade do Extremo Sul Catarinense – UNESC);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Fabiane Maciel Fabris</w:t>
      </w:r>
      <w:r>
        <w:rPr>
          <w:rFonts w:cs="Times New Roman" w:ascii="Times New Roman" w:hAnsi="Times New Roman"/>
          <w:sz w:val="24"/>
        </w:rPr>
        <w:t xml:space="preserve"> (Universidade do Extremo Sul Catarinense – UNESC);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 xml:space="preserve">Fernanda Rodrigues (Centro Acadêmico de Nutrição – UNESC);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Loiva Albino Perdona Cezar</w:t>
      </w:r>
      <w:r>
        <w:rPr>
          <w:rFonts w:cs="Times New Roman" w:ascii="Times New Roman" w:hAnsi="Times New Roman"/>
          <w:sz w:val="24"/>
        </w:rPr>
        <w:t xml:space="preserve"> (Cooperativa dos Agricultores Familiares de Criciúma – Nosso Fruto); 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NSimSu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Gabrielle da Luz</w:t>
      </w:r>
      <w:r>
        <w:rPr>
          <w:rFonts w:cs="Times New Roman" w:ascii="Times New Roman" w:hAnsi="Times New Roman"/>
          <w:sz w:val="24"/>
        </w:rPr>
        <w:t xml:space="preserve"> (Conselho Regional de Nutricionistas – CRN 10);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</w:rPr>
        <w:t>Renato Costa (Entidade Negra Bastiana – ENEB);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LibreOffice/6.4.0.3$Windows_X86_64 LibreOffice_project/b0a288ab3d2d4774cb44b62f04d5d28733ac6df8</Application>
  <Pages>4</Pages>
  <Words>1208</Words>
  <Characters>7263</Characters>
  <CharactersWithSpaces>8481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2023-08-10T02:55:00Z</dcterms:created>
  <dc:creator>CONSELHOS</dc:creator>
  <dc:description/>
  <dc:language>pt-BR</dc:language>
  <cp:lastModifiedBy/>
  <cp:lastPrinted>2023-09-18T15:04:29Z</cp:lastPrinted>
  <dcterms:modified xsi:type="dcterms:W3CDTF">2023-09-20T08:39:17Z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