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ATA DA REUNIÃO ORDINÁRIA DO CONSELHO MUNICIPAL DE SANEAMENTO BÁSICO – COMSAB</w:t>
      </w:r>
    </w:p>
    <w:p>
      <w:pPr>
        <w:pStyle w:val="Normal"/>
        <w:spacing w:lineRule="auto" w:line="48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N°0</w:t>
      </w:r>
      <w:r>
        <w:rPr>
          <w:rFonts w:eastAsia="Calibri" w:cs="Calibri" w:ascii="Times New Roman" w:hAnsi="Times New Roman"/>
          <w:b/>
          <w:sz w:val="24"/>
          <w:szCs w:val="24"/>
        </w:rPr>
        <w:t>4</w:t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28/11/2023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Arial" w:cs="Times New Roman" w:ascii="Times New Roman" w:hAnsi="Times New Roman"/>
          <w:color w:val="000000"/>
          <w:sz w:val="24"/>
        </w:rPr>
        <w:t>Ao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vigésimo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oitavo</w:t>
      </w:r>
      <w:r>
        <w:rPr>
          <w:rFonts w:cs="Times New Roman" w:ascii="Times New Roman" w:hAnsi="Times New Roman"/>
          <w:sz w:val="24"/>
        </w:rPr>
        <w:t xml:space="preserve"> dia do mês de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novembro</w:t>
      </w:r>
      <w:r>
        <w:rPr>
          <w:rFonts w:cs="Times New Roman" w:ascii="Times New Roman" w:hAnsi="Times New Roman"/>
          <w:sz w:val="24"/>
        </w:rPr>
        <w:t xml:space="preserve"> de dois mil e vinte e três, aconteceu a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quarta</w:t>
      </w:r>
      <w:r>
        <w:rPr>
          <w:rFonts w:cs="Times New Roman" w:ascii="Times New Roman" w:hAnsi="Times New Roman"/>
          <w:sz w:val="24"/>
        </w:rPr>
        <w:t xml:space="preserve"> reunião ordinária do Conselho Municipal </w:t>
      </w:r>
      <w:r>
        <w:rPr>
          <w:rFonts w:eastAsia="Calibri" w:cs="Calibri" w:ascii="Times New Roman" w:hAnsi="Times New Roman"/>
          <w:sz w:val="24"/>
        </w:rPr>
        <w:t>de Saneamento Básico – COMSAB</w:t>
      </w:r>
      <w:r>
        <w:rPr>
          <w:rFonts w:cs="Times New Roman" w:ascii="Times New Roman" w:hAnsi="Times New Roman"/>
          <w:sz w:val="24"/>
        </w:rPr>
        <w:t xml:space="preserve">, de forma presencial. Estavam presentes os (as) seguintes conselheiros (as):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Guilherme Alexandre Colombo (Diretoria Municipal do Meio Ambiente de Criciúma – DMACRI); Murilo Barbosa Flores (Secretaria Municipal do Sistema de Infraestrutura, Planejamento e Mobilidade Urbana); Rafaela Bendo (Secretária Municipal de Infraestrutura, Planejamento e Mobilidade Urbana); Mário Dagostin (Secretaria Municipal da Fazenda); Gabriela Medeiros da Silva (Secretaria Municipal da Fazenda); Jansen Comin Toledo dos Santos (Procuradoria-Geral do Município); Ramon Ugioni Borges (Secretaria Municipal de Saúde); Fernanda Martins (Secretaria Municipal de Saúde); Anequésselen Bitencourt Fortunato (Gabinete do Prefeito); Viviane dos Santos da Rosa (Companhia Catarinense de Água e Saneamento – CASAN); Jorge Marques Bittencourt (Sindicato dos Trabalhadores da Indústria Química). Como convidados: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 xml:space="preserve">Matheus Sant’Ana Pacheco (Secretaria Municipal de Governança); Ricardo Martins (Motta Martins Engenharia).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A presidente Anequésselen Fortunato deu início à reunião, saudando aos presentes e agradecendo-lhes a presença. Assim, a presidente apresentou a pauta, concedendo a palavra ao convidado Sr. Ricardo Martins, engenheiro sanitarista, representante da empresa Motta Martins Engenharia, que seria responsável pel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a exposição do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 primeiro tópico de discussão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da reunião.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O convidado, então, expôs ao grupo os estudos para  concessão dos serviços de resíduos sólidos urbano, sendo estes os serviços de coleta, transporte, reciclagem, compostagem, e destinação final. O Sr. Ricardo Martins também informou os conselheiros acerca da incorporação de investimentos para implantação de lixeiras modernas, ecopontos, caminhões e afins, com vistas a tornar todo o processo o mais efetivo possível. Informou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os presentes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, ainda, que tal modelo econômico respondeu de forma positiva, demonstrando a viabilidade para sua concessão. Em adição, o convidado Sr. Ricardo divulgou as projeções populacionais, projeções de volumes de resíduos orgânicos, reciclável e convencional, bem como os custos envolvidos para atingir as metas do plano de saneamento. A respeito das tarifas, informou que não urgem revisão e que existe a possibilidade de obtenção de desconto a partir de licitação. Ademais, incorporaram-se fatores de eficiência a serem cumpridos pela concessionaria contemplada, além de mecanismos de penalidade e multas para o caso de tais fatores não serem devidamente cumpridos. O convidado Sr. Ricardo comunicou aos conselheiros que o próximo encaminhamento seria a realização de ambas consulta e audiência públicas. Os presentes aproveitaram a oportunidade para sanarem seus questionamentos, que foram devidamente respondidos pelo convidado. Assim, a presidente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>Anequésselen concedeu aos conselheiros um prazo de uma semana, a ser finalizado ao dia 5 de dezembro do corrente ano, para que estes analisem os estudos expostos pelo convidado Sr. Ricardo Martins, a fim de que os conselheiros pontuem suas observações e recomendações pertinentes e realizem tal devolutiva. Após, a presidente introduziu o segundo tópico da pauta: a questão da ligação de esgoto de loteamentos. Dessa forma, os conselheiros presentes discorre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>ram e debateram sobre a temática, e, por fim, foram informados pela conselheira Viviane dos Santos da Rosa, que a Companhia Catarinense de Água e Saneamento – CASAN possui como exigência que os novos empreendimentos a ela apresentados possuam os devidos projetos de ligação à rede de esgoto. Na sequência, a presidente trouxe à discussão a Minuta de Projeto de Lei, com vistas à alteração do Art. 146 da Lei Municipal nº 7.609/2009, que aborda os procedimentos para a instalação dos equipamentos de coleta de esgoto. Deste modo, foi trazida a Minuta para ser analisada pelos conselheiros, que foi brevemente discutida entre os presentes. A presidente também percebeu necessário conceder um prazo de uma semana para que, individual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>ment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 xml:space="preserve">e,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>os conselheiros realizem uma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 xml:space="preserve"> avaliação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 xml:space="preserve">do esboço de lei, realizando a devolutiva das alterações que cada um achar adequadas até o dia 5 de dezembro do corrente ano, para a presidente.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>Destarte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>, sem mais a tratar, a presidente Anequésselen encerrou a reunião e eu, Sofia dos Santos Coelho, lavro e finalizo a presente ata que, após lida e aprovada, será por todos assinada.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Guilherme Alexandre Colombo (Diretoria Municipal do Meio Ambiente de Criciúma – DMACRI);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Murilo Barbosa Flores (Secretaria Municipal do Sistema de Infraestrutura, Planejamento e Mobilidade Urbana);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Rafaela Bendo (Secretária Municipal de Infraestrutura, Planejamento e Mobilidade Urbana);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Mário Dagostin (Secretaria Municipal da Fazenda);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Gabriela Medeiros da Silva (Secretaria Municipal da Fazenda);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Jansen Comin Toledo dos Santos (Procuradoria-Geral do Município);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Ramon Ugioni Borges (Secretaria Municipal de Saúde);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Fernanda Martins (Secretaria Municipal de Saúde);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Anequésselen Bitencourt Fortunato (Gabinete do Prefeito);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Viviane dos Santos da Rosa (Companhia Catarinense de Água e Saneamento – CASAN);  Jorge Marques Bittencourt (Sindicato dos Trabalhadores da Indústria Química). </w:t>
      </w:r>
    </w:p>
    <w:sectPr>
      <w:type w:val="nextPage"/>
      <w:pgSz w:w="12240" w:h="15840"/>
      <w:pgMar w:left="1800" w:right="1800" w:header="0" w:top="1440" w:footer="0" w:bottom="1440" w:gutter="0"/>
      <w:lnNumType w:countBy="1" w:restart="continuous" w:distance="28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8b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 w:asciiTheme="minorHAnsi" w:hAnsiTheme="minorHAnsi"/>
      <w:color w:val="auto"/>
      <w:kern w:val="2"/>
      <w:sz w:val="22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038b0"/>
    <w:rPr>
      <w:rFonts w:ascii="Calibri" w:hAnsi="Calibri" w:eastAsia="NSimSun" w:cs="Mangal"/>
      <w:kern w:val="2"/>
      <w:szCs w:val="24"/>
      <w:lang w:eastAsia="zh-CN" w:bidi="hi-IN"/>
    </w:rPr>
  </w:style>
  <w:style w:type="character" w:styleId="Linenumber">
    <w:name w:val="line number"/>
    <w:basedOn w:val="DefaultParagraphFont"/>
    <w:uiPriority w:val="99"/>
    <w:semiHidden/>
    <w:unhideWhenUsed/>
    <w:qFormat/>
    <w:rsid w:val="00e038b0"/>
    <w:rPr/>
  </w:style>
  <w:style w:type="character" w:styleId="Numeraodelinhas" w:customStyle="1">
    <w:name w:val="Numeração de linhas"/>
    <w:rPr/>
  </w:style>
  <w:style w:type="character" w:styleId="Appleconvertedspace" w:customStyle="1">
    <w:name w:val="apple-converted-space"/>
    <w:qFormat/>
    <w:rPr/>
  </w:style>
  <w:style w:type="character" w:styleId="Strong">
    <w:name w:val="Strong"/>
    <w:qFormat/>
    <w:rPr>
      <w:b/>
    </w:rPr>
  </w:style>
  <w:style w:type="character" w:styleId="TextodebaloChar" w:customStyle="1">
    <w:name w:val="Texto de balão Char"/>
    <w:qFormat/>
    <w:rPr>
      <w:rFonts w:ascii="Tahoma" w:hAnsi="Tahoma" w:eastAsia="Tahoma"/>
      <w:sz w:val="16"/>
      <w:szCs w:val="16"/>
    </w:rPr>
  </w:style>
  <w:style w:type="character" w:styleId="RodapChar" w:customStyle="1">
    <w:name w:val="Rodapé Char"/>
    <w:qFormat/>
    <w:rPr/>
  </w:style>
  <w:style w:type="character" w:styleId="CabealhoChar" w:customStyle="1">
    <w:name w:val="Cabeçalho Char"/>
    <w:qFormat/>
    <w:rPr/>
  </w:style>
  <w:style w:type="character" w:styleId="Smbolosdenumerao" w:customStyle="1">
    <w:name w:val="Símbolos de numeração"/>
    <w:qFormat/>
    <w:rPr/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e038b0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eastAsia="Tahoma"/>
      <w:sz w:val="16"/>
      <w:szCs w:val="16"/>
      <w:lang w:eastAsia="ar-SA"/>
    </w:rPr>
  </w:style>
  <w:style w:type="paragraph" w:styleId="Rodap1" w:customStyle="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Cabealho1" w:customStyle="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Legenda1" w:customStyle="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LibreOffice/7.0.1.2$Windows_X86_64 LibreOffice_project/7cbcfc562f6eb6708b5ff7d7397325de9e764452</Application>
  <Pages>3</Pages>
  <Words>754</Words>
  <Characters>4580</Characters>
  <CharactersWithSpaces>5338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2022-08-24T18:39:00Z</dcterms:created>
  <dc:creator>CONSELHOS</dc:creator>
  <dc:description/>
  <dc:language>pt-BR</dc:language>
  <cp:lastModifiedBy/>
  <cp:lastPrinted>2023-07-26T14:11:31Z</cp:lastPrinted>
  <dcterms:modified xsi:type="dcterms:W3CDTF">2023-11-29T16:27:15Z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